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DB" w:rsidRPr="00173875" w:rsidRDefault="00E63FDB" w:rsidP="00E63FDB">
      <w:pPr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32"/>
          <w:szCs w:val="32"/>
          <w:lang w:val="en-GB"/>
        </w:rPr>
      </w:pPr>
      <w:r w:rsidRPr="00173875">
        <w:rPr>
          <w:rFonts w:ascii="Verdana" w:eastAsia="Times New Roman" w:hAnsi="Verdana" w:cs="Times New Roman"/>
          <w:color w:val="0000FF"/>
          <w:sz w:val="32"/>
          <w:szCs w:val="32"/>
          <w:lang w:val="en-GB"/>
        </w:rPr>
        <w:t xml:space="preserve">Ameerika osteopaatia </w:t>
      </w:r>
      <w:proofErr w:type="gramStart"/>
      <w:r w:rsidRPr="00173875">
        <w:rPr>
          <w:rFonts w:ascii="Verdana" w:eastAsia="Times New Roman" w:hAnsi="Verdana" w:cs="Times New Roman"/>
          <w:color w:val="0000FF"/>
          <w:sz w:val="32"/>
          <w:szCs w:val="32"/>
          <w:lang w:val="en-GB"/>
        </w:rPr>
        <w:t>ja</w:t>
      </w:r>
      <w:proofErr w:type="gramEnd"/>
      <w:r w:rsidRPr="00173875">
        <w:rPr>
          <w:rFonts w:ascii="Verdana" w:eastAsia="Times New Roman" w:hAnsi="Verdana" w:cs="Times New Roman"/>
          <w:color w:val="0000FF"/>
          <w:sz w:val="32"/>
          <w:szCs w:val="32"/>
          <w:lang w:val="en-GB"/>
        </w:rPr>
        <w:t xml:space="preserve"> Euroopa manuaalmeditsiin</w:t>
      </w:r>
    </w:p>
    <w:p w:rsidR="00E63FDB" w:rsidRPr="00E63FDB" w:rsidRDefault="00E63FDB" w:rsidP="00E63FDB">
      <w:pPr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24"/>
          <w:szCs w:val="24"/>
          <w:lang w:val="en-GB"/>
        </w:rPr>
      </w:pPr>
    </w:p>
    <w:p w:rsidR="00E63FDB" w:rsidRPr="00E63FDB" w:rsidRDefault="00E63FDB" w:rsidP="00E63FDB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6"/>
          <w:szCs w:val="24"/>
          <w:lang w:val="en-GB"/>
        </w:rPr>
        <w:t xml:space="preserve">Originaal-pealkiri: Mõned aspektid Ameerika osteopaatiast 21. </w:t>
      </w:r>
      <w:proofErr w:type="gramStart"/>
      <w:r w:rsidRPr="00E63FDB">
        <w:rPr>
          <w:rFonts w:ascii="Verdana" w:eastAsia="Times New Roman" w:hAnsi="Verdana" w:cs="Times New Roman"/>
          <w:sz w:val="16"/>
          <w:szCs w:val="24"/>
          <w:lang w:val="en-GB"/>
        </w:rPr>
        <w:t>sajandi</w:t>
      </w:r>
      <w:proofErr w:type="gramEnd"/>
      <w:r w:rsidRPr="00E63FDB">
        <w:rPr>
          <w:rFonts w:ascii="Verdana" w:eastAsia="Times New Roman" w:hAnsi="Verdana" w:cs="Times New Roman"/>
          <w:sz w:val="16"/>
          <w:szCs w:val="24"/>
          <w:lang w:val="en-GB"/>
        </w:rPr>
        <w:t xml:space="preserve"> koidikul</w:t>
      </w:r>
    </w:p>
    <w:p w:rsidR="00E63FDB" w:rsidRPr="00E63FDB" w:rsidRDefault="00E63FDB" w:rsidP="00E63FDB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6"/>
          <w:szCs w:val="24"/>
          <w:lang w:val="en-GB"/>
        </w:rPr>
        <w:t>Autor: Marie-José Teyssandier, MD, Prantsuse Manuaalse Meditsiini Selts (SOFMMOO)</w:t>
      </w:r>
    </w:p>
    <w:p w:rsidR="00E63FDB" w:rsidRPr="00E63FDB" w:rsidRDefault="00E63FDB" w:rsidP="00E63FDB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6"/>
          <w:szCs w:val="24"/>
          <w:lang w:val="en-GB"/>
        </w:rPr>
        <w:t>Allikas: Prantsusmaa Ortopeedilise Meditsiini ajakiri nr. 61, juuni 2000</w:t>
      </w:r>
    </w:p>
    <w:p w:rsidR="00E63FDB" w:rsidRPr="00E63FDB" w:rsidRDefault="00E63FDB" w:rsidP="00E63FDB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6"/>
          <w:szCs w:val="24"/>
          <w:lang w:val="en-GB"/>
        </w:rPr>
        <w:t>Tõlge eesti keelde: Leili Lepik, MD, Eesti Manuaalse Meditsiini Selts, oktoober 2001</w:t>
      </w:r>
    </w:p>
    <w:p w:rsidR="00E63FDB" w:rsidRPr="00E63FDB" w:rsidRDefault="00E63FDB" w:rsidP="00E63FDB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sz w:val="16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6"/>
          <w:szCs w:val="24"/>
          <w:lang w:val="en-GB"/>
        </w:rPr>
        <w:t>Artikkel ilmus Eestis med. ajakirjas Hippokrates, veebruar 2002</w:t>
      </w:r>
    </w:p>
    <w:p w:rsidR="00E63FDB" w:rsidRPr="00E63FDB" w:rsidRDefault="00E63FDB" w:rsidP="00E63FDB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sz w:val="16"/>
          <w:szCs w:val="24"/>
          <w:lang w:val="en-GB"/>
        </w:rPr>
      </w:pPr>
    </w:p>
    <w:p w:rsidR="00E63FDB" w:rsidRPr="00E63FDB" w:rsidRDefault="00E63FDB" w:rsidP="00E6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63FDB" w:rsidRPr="00E63FDB" w:rsidRDefault="00E63FDB" w:rsidP="00E63FDB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Arstid on sageli puudulikult informeeritud sellest,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et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ühed ja samad terminid kannavad eri maades erinevaid tähendusi. Nende raskuste kõrvaldamiseks esitati rida küsimusi Michael L. Kuchera’le, kes on Kirksville’i (Missouri, USA) Osteopaatilise Meditsiini Kolledži dekaan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Osteopaatia Doktor (DO).</w:t>
      </w:r>
    </w:p>
    <w:p w:rsidR="00E63FDB" w:rsidRPr="00E63FDB" w:rsidRDefault="00E63FDB" w:rsidP="00E63FDB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Küsimused olid järgmised:</w:t>
      </w:r>
    </w:p>
    <w:p w:rsidR="00E63FDB" w:rsidRPr="00E63FDB" w:rsidRDefault="00E63FDB" w:rsidP="00E63FDB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Mis on osteopaatia?</w:t>
      </w:r>
    </w:p>
    <w:p w:rsidR="00E63FDB" w:rsidRPr="00E63FDB" w:rsidRDefault="00E63FDB" w:rsidP="00E63FDB">
      <w:pPr>
        <w:numPr>
          <w:ilvl w:val="0"/>
          <w:numId w:val="1"/>
        </w:numPr>
        <w:spacing w:after="0" w:line="240" w:lineRule="auto"/>
        <w:ind w:right="-874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Millised on osteopaatia erinevused Euroopa manuaalmeditsiinist?</w:t>
      </w:r>
    </w:p>
    <w:p w:rsidR="00E63FDB" w:rsidRPr="00E63FDB" w:rsidRDefault="00E63FDB" w:rsidP="00E63FD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Milline tähendus anda mõistele “manipulatsioon”?</w:t>
      </w:r>
    </w:p>
    <w:p w:rsidR="00E63FDB" w:rsidRPr="00E63FDB" w:rsidRDefault="00E63FDB" w:rsidP="00E63FD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Millised on osteopaatia näidustused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vastunäidustused?</w:t>
      </w:r>
    </w:p>
    <w:p w:rsidR="00E63FDB" w:rsidRPr="00E63FDB" w:rsidRDefault="00E63FDB" w:rsidP="00E63FD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Kes on osteopaatia doktor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milline on tema ettevalmistus?</w:t>
      </w:r>
    </w:p>
    <w:p w:rsidR="00E63FDB" w:rsidRPr="00E63FDB" w:rsidRDefault="00E63FDB" w:rsidP="00E63FDB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b/>
          <w:bCs/>
          <w:color w:val="0000FF"/>
          <w:sz w:val="18"/>
          <w:szCs w:val="24"/>
          <w:lang w:val="en-GB"/>
        </w:rPr>
        <w:t>Mis on osteopaatia?</w:t>
      </w:r>
    </w:p>
    <w:p w:rsidR="00E63FDB" w:rsidRPr="00E63FDB" w:rsidRDefault="00E63FDB" w:rsidP="00E63FDB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</w:p>
    <w:p w:rsidR="00E63FDB" w:rsidRPr="00E63FDB" w:rsidRDefault="00E63FDB" w:rsidP="00E63FDB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Mõisted erinevates riikides.</w:t>
      </w:r>
      <w:proofErr w:type="gramEnd"/>
    </w:p>
    <w:p w:rsidR="00E63FDB" w:rsidRPr="00E63FDB" w:rsidRDefault="00E63FDB" w:rsidP="00E63FDB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  <w:t>A. Suurbritannia osteopaatia</w:t>
      </w:r>
    </w:p>
    <w:p w:rsidR="00E63FDB" w:rsidRPr="00E63FDB" w:rsidRDefault="00E63FDB" w:rsidP="00E63FDB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Autoriteetse Suurbritannia Osteopaatia Nõukogu esindaja on kirjutanud: “Osteopaatia definitsiooni on uskumatult raske sõnastada, sest osteopaadid esindavad väga mitmekesist gruppi, kes praktiseerivad sama eriala erinevaid aspekte. Inglismaal ei ole osteopaatia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sama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, mis see on Ameerikas.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Me ei ole võimelised lõplikku teksti sõnastama.”</w:t>
      </w:r>
      <w:proofErr w:type="gramEnd"/>
    </w:p>
    <w:p w:rsidR="00E63FDB" w:rsidRPr="00E63FDB" w:rsidRDefault="00E63FDB" w:rsidP="00E63FDB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  <w:t>B. Ameerika osteopaatia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Ameerika osteopaatia on arenenud alates selle “taas-avastamisest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“ Dr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. Andrew Taylor Still’i poolt 1874.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aastal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. Osteopaatia definitsioon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selle kaasaegsed printsiibid on esitatud spetsiaalse komisjoni poolt kinnitatud Osteopaatia Terminoloogia Sõnastiku uues väljaandes aastast 1997. 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  <w:t>Osteopaatia definitsioon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Osteopaatia on filosoofia, mis tugineb ühtsuse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harmoonia kontseptsioonile, mis toimib kõikide elusolendite struktuuri (anatoomia) ja funktsiooni (füsioloogia) vahel. Osteopaatia praktiseerimine nõuab täpseid oskusi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meisterlikkust. Osteopaatia sisaldab füüsikalisi, keemilisi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bioloogilisi teadmisi tervise toetamisest, haiguste vältimisest ja ravist ning osteopaatia teadmisi ja oskusi on võimalik rakendada erinevate meditsiini erialade raames.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Kaasaegses osteopaatias kasutatav termin “somaatiline düsfunktsioon” vastab sellele kokkuleppelisele mõistele, mida kuni 1973nda aastani nimetati “osteopaatiliseks kahjustuseks”.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Somaatilise düsfunktsiooni tunnused ehk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diagnostilised  kriteeriumid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on: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numPr>
          <w:ilvl w:val="0"/>
          <w:numId w:val="3"/>
        </w:numPr>
        <w:tabs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Kudede tekstuuri muutused</w:t>
      </w:r>
    </w:p>
    <w:p w:rsidR="00E63FDB" w:rsidRPr="00E63FDB" w:rsidRDefault="00E63FDB" w:rsidP="00E63FDB">
      <w:pPr>
        <w:numPr>
          <w:ilvl w:val="0"/>
          <w:numId w:val="3"/>
        </w:numPr>
        <w:tabs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Anatoomiliste “maamärkide” asümmeetria</w:t>
      </w:r>
    </w:p>
    <w:p w:rsidR="00E63FDB" w:rsidRPr="00E63FDB" w:rsidRDefault="00E63FDB" w:rsidP="00E63FDB">
      <w:pPr>
        <w:numPr>
          <w:ilvl w:val="0"/>
          <w:numId w:val="3"/>
        </w:numPr>
        <w:tabs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Liikumisulatuste piiratus</w:t>
      </w:r>
    </w:p>
    <w:p w:rsidR="00E63FDB" w:rsidRPr="00E63FDB" w:rsidRDefault="00E63FDB" w:rsidP="00E63FDB">
      <w:pPr>
        <w:numPr>
          <w:ilvl w:val="0"/>
          <w:numId w:val="3"/>
        </w:numPr>
        <w:tabs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Kudede tundlikkus/valulikkus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ind w:left="360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ind w:right="-1234"/>
        <w:rPr>
          <w:rFonts w:ascii="Verdana" w:eastAsia="Times New Roman" w:hAnsi="Verdana" w:cs="Times New Roman"/>
          <w:color w:val="0000FF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b/>
          <w:bCs/>
          <w:color w:val="0000FF"/>
          <w:sz w:val="18"/>
          <w:szCs w:val="24"/>
          <w:lang w:val="en-GB"/>
        </w:rPr>
        <w:t>2. Milline on Ameerika osteopaatia erinevus Euroopa manuaalmeditsiinist?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ind w:left="360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ind w:left="360"/>
        <w:rPr>
          <w:rFonts w:ascii="Verdana" w:eastAsia="Times New Roman" w:hAnsi="Verdana" w:cs="Times New Roman"/>
          <w:sz w:val="18"/>
          <w:szCs w:val="24"/>
          <w:lang w:val="en-GB"/>
        </w:rPr>
      </w:pP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Ameerika osteopaatias somaatilise düsfunktsiooni neli tunnust erinevad Euroopa manuaalmeditsiinis diagnoositavatest haigustunnustest.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Viimast iseloomustavad lülisamba segmentaalse uurimise käigus tekkivad provotseeritud valud, mida tähistatakse mõistega “väike inter-vertebraalne häire”.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Seejuures diagnostika nii “somaatilise düsfunktsiooni” kui “väikse inter-vertebraalse häire” korral on kliiniline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manuaalne (palpatoorne).</w:t>
      </w:r>
    </w:p>
    <w:p w:rsidR="00E63FDB" w:rsidRPr="00E63FDB" w:rsidRDefault="00E63FDB" w:rsidP="00991E5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  <w:lastRenderedPageBreak/>
        <w:t xml:space="preserve">Ameerika osteopaatia kaasaegsed printsiibid 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numPr>
          <w:ilvl w:val="0"/>
          <w:numId w:val="4"/>
        </w:numPr>
        <w:tabs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Inimese struktuursed elemendid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funktsioonid on vastastikkuses sõltuvuses ja toimes kõikidel tasanditel.</w:t>
      </w:r>
    </w:p>
    <w:p w:rsidR="00E63FDB" w:rsidRPr="00E63FDB" w:rsidRDefault="00E63FDB" w:rsidP="00E63FDB">
      <w:pPr>
        <w:numPr>
          <w:ilvl w:val="0"/>
          <w:numId w:val="4"/>
        </w:numPr>
        <w:tabs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Somaatiline düsfunktsioon põhjustab keha toese elementide (luud, liigesed, lihased, sidekirmed, veresooned, närvid, lümfiteed) muutuse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funktsioonihäire, mis põhjustab tasakaalutuse struktuuri ja funktsiooni vahel, mis omakorda soodustab haiguste tekkimist ja alalhoimist.</w:t>
      </w:r>
    </w:p>
    <w:p w:rsidR="00E63FDB" w:rsidRPr="00E63FDB" w:rsidRDefault="00E63FDB" w:rsidP="00E63FDB">
      <w:pPr>
        <w:numPr>
          <w:ilvl w:val="0"/>
          <w:numId w:val="4"/>
        </w:numPr>
        <w:tabs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Düsfunktsiooni vähendamine lubab esile tulla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tegutsema hakata keha autoregulatsiooni ehk eneseravi loomulikel mehanismidel, mis viibki haigus-seisundite paranemisele.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ind w:left="720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  <w:t>Euroopa osteopaatia Vahemere-maades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Nendes riikides, mis on ühinenud Euroopa Manuaalse Meditsiini Unioonis (UEMMA, asut. 1997), ei ole manuaalmeditsiini peamine eesmärk mitte orgaaniliste haiguste ravi ega preventsioon, vaid lihas-luukonna teatud mehaanilist laadi valulike häirete diagnostika ja ravi. 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Et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manual-ravi toimuks optimaalselt turvaliselt, peab arst ravi eelselt läbi viima diagnostika, mille peamiseks eesmärgiks on kahe diagnoosi püstitamine: 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numPr>
          <w:ilvl w:val="0"/>
          <w:numId w:val="5"/>
        </w:numPr>
        <w:tabs>
          <w:tab w:val="center" w:pos="4153"/>
          <w:tab w:val="right" w:pos="8306"/>
        </w:tabs>
        <w:spacing w:after="0" w:line="240" w:lineRule="auto"/>
        <w:ind w:left="360" w:hanging="360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Esimene, konventsionaalne diagnostika, peab silmas etioloogiat vastavalt anamneesile, kliinilisele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parakliinilisele uurimisele (röntgenograafiline, bioloogiline). 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Default="00E63FDB" w:rsidP="00E63FDB">
      <w:pPr>
        <w:numPr>
          <w:ilvl w:val="0"/>
          <w:numId w:val="5"/>
        </w:numPr>
        <w:tabs>
          <w:tab w:val="center" w:pos="4153"/>
          <w:tab w:val="right" w:pos="8306"/>
        </w:tabs>
        <w:spacing w:after="0" w:line="240" w:lineRule="auto"/>
        <w:ind w:left="360" w:hanging="360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Teine, palpatoorne diagnostika, peab silmas topograafiat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kujutab endast lülisamba ja jäseme-liigeste ning pehmete kudede manuaal-diagnostikat. </w:t>
      </w:r>
    </w:p>
    <w:p w:rsidR="00991E58" w:rsidRDefault="00991E58" w:rsidP="00991E58">
      <w:pPr>
        <w:pStyle w:val="ListParagraph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991E58" w:rsidRDefault="00991E58" w:rsidP="00991E58">
      <w:pPr>
        <w:tabs>
          <w:tab w:val="left" w:pos="708"/>
          <w:tab w:val="center" w:pos="4153"/>
          <w:tab w:val="right" w:pos="8306"/>
        </w:tabs>
        <w:spacing w:after="0" w:line="240" w:lineRule="auto"/>
        <w:ind w:right="-1234"/>
        <w:rPr>
          <w:rFonts w:ascii="Verdana" w:eastAsia="Times New Roman" w:hAnsi="Verdana" w:cs="Times New Roman"/>
          <w:b/>
          <w:bCs/>
          <w:color w:val="0000FF"/>
          <w:sz w:val="18"/>
          <w:szCs w:val="24"/>
          <w:lang w:val="en-GB"/>
        </w:rPr>
      </w:pPr>
      <w:proofErr w:type="gramStart"/>
      <w:r>
        <w:rPr>
          <w:rFonts w:ascii="Verdana" w:eastAsia="Times New Roman" w:hAnsi="Verdana" w:cs="Times New Roman"/>
          <w:b/>
          <w:bCs/>
          <w:color w:val="0000FF"/>
          <w:sz w:val="18"/>
          <w:szCs w:val="24"/>
          <w:lang w:val="en-GB"/>
        </w:rPr>
        <w:t>3.</w:t>
      </w:r>
      <w:r w:rsidR="00E63FDB" w:rsidRPr="00991E58">
        <w:rPr>
          <w:rFonts w:ascii="Verdana" w:eastAsia="Times New Roman" w:hAnsi="Verdana" w:cs="Times New Roman"/>
          <w:b/>
          <w:bCs/>
          <w:color w:val="0000FF"/>
          <w:sz w:val="18"/>
          <w:szCs w:val="24"/>
          <w:lang w:val="en-GB"/>
        </w:rPr>
        <w:t>Milline</w:t>
      </w:r>
      <w:proofErr w:type="gramEnd"/>
      <w:r w:rsidR="00E63FDB" w:rsidRPr="00991E58">
        <w:rPr>
          <w:rFonts w:ascii="Verdana" w:eastAsia="Times New Roman" w:hAnsi="Verdana" w:cs="Times New Roman"/>
          <w:b/>
          <w:bCs/>
          <w:color w:val="0000FF"/>
          <w:sz w:val="18"/>
          <w:szCs w:val="24"/>
          <w:lang w:val="en-GB"/>
        </w:rPr>
        <w:t xml:space="preserve"> tähendus on mõistel vertebraalne või artikulaarne “manipulatsioon”?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ind w:left="360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Mõistel “manipulatsioon” on Euroopa arstide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USA osteopaatide käsitluses erinev tähendus.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A. Euroopas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Paljudele Euroopa manuaalmeditsiini autoritele on vertebraalne “manipulatsioon” tugev passiivne mobilisatsioon, mis sisaldab ühe või mitme lülisamba naaber-liigeste elementide mõjutamist normaalsest kuni võimaliku anatoomilise liikumis-ulatuse piirini.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See vastab peaaegu sellele mõistele, mida ameerika osteopaadid nimetavad suure kiiruse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väikse amplituudiga impulss-tehnikaks.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B. Ameerikas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Ameerika osteopaadid nimetavad manipulatiivseks raviks erinevaid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manuaalseid  tehnikaid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, mis on grupeeritud nimetuse alla “osteopaatilised manipulatiivsed ravitehnikad”.</w:t>
      </w:r>
      <w:r w:rsidR="00991E58">
        <w:rPr>
          <w:rFonts w:ascii="Verdana" w:eastAsia="Times New Roman" w:hAnsi="Verdana" w:cs="Times New Roman"/>
          <w:sz w:val="18"/>
          <w:szCs w:val="24"/>
          <w:lang w:val="en-GB"/>
        </w:rPr>
        <w:t xml:space="preserve"> </w:t>
      </w: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Kuid olemas on ka ühine definitsioon: “Manipulatsioon on terapeutiline aplikatsioon, mille on sooritanud arst käeliselt juhitud jõuga.”   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  <w:t>Ameerika osteopaatilised manipulatiivsed ravitehnikad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Siia alla kuuluvad: 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1) Suure kiiruse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väikse amplituudiga liiges-tehnikad, mida sooritab arst. </w:t>
      </w:r>
    </w:p>
    <w:p w:rsid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2) Ravitehnikad, mis Euroopas tavaliselt delegeeritakse füsioterapeutidele: </w:t>
      </w:r>
    </w:p>
    <w:p w:rsidR="004034A0" w:rsidRPr="00E63FDB" w:rsidRDefault="004034A0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numPr>
          <w:ilvl w:val="0"/>
          <w:numId w:val="6"/>
        </w:numPr>
        <w:tabs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Aeglase kiiruse ja mõõduka kuni suure amplituudiga liiges-tehnikad; </w:t>
      </w:r>
    </w:p>
    <w:p w:rsidR="00E63FDB" w:rsidRPr="00E63FDB" w:rsidRDefault="00E63FDB" w:rsidP="00E63FDB">
      <w:pPr>
        <w:numPr>
          <w:ilvl w:val="0"/>
          <w:numId w:val="6"/>
        </w:numPr>
        <w:tabs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Pehmete kudede tehnikad (naha-tehnikad, lihas-energeetilised tehnikad Mitchelli järgi, lihas-sidekirme-tehnikad, lümfi-drenaaž jt.); </w:t>
      </w:r>
    </w:p>
    <w:p w:rsidR="00E63FDB" w:rsidRPr="00E63FDB" w:rsidRDefault="00E63FDB" w:rsidP="00E63FDB">
      <w:pPr>
        <w:numPr>
          <w:ilvl w:val="0"/>
          <w:numId w:val="6"/>
        </w:numPr>
        <w:tabs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Funktsionaalsed ravitehnikad (vistseraalsed manipulatsioonid, kranio-sakraalsed tehnikad, rindkere “pumpamine”, venoossete reservuaaride mõjutamine).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ind w:left="720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Semantilistest erinevustest johtuvalt tekib mitmeid küsimusi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järeldusi: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numPr>
          <w:ilvl w:val="0"/>
          <w:numId w:val="7"/>
        </w:numPr>
        <w:tabs>
          <w:tab w:val="center" w:pos="4153"/>
          <w:tab w:val="right" w:pos="8306"/>
        </w:tabs>
        <w:spacing w:after="0" w:line="240" w:lineRule="auto"/>
        <w:ind w:left="720" w:hanging="360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  <w:t>Kas teha röntgenograafiat või mitte?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Selle kohta, mis puudutab röntgenograafilise uurimise vajalikkust enne manipulatiivset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ravi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, esinevad põhimõttelised erinevused Vahemere-maade (helleenide) ja anglosaksi riikide ravijuhendites. 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lastRenderedPageBreak/>
        <w:t xml:space="preserve">Euroopas on funktsionaalsete probleemide korral röntgen-uuringut peetud tavaliselt vajalikuks, ameerika osteopaatide poolt aga ülearuseks, kuna arst alustab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ravi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peale etioloogilise diagnoosi püstitamist.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Ka Suurbritannias peetakse röntgen-uuringut enamasti kasutuks, välja arvatud juhud, kus ilmnevad lülisamba tõsise patoloogia tunnused.</w:t>
      </w:r>
      <w:proofErr w:type="gramEnd"/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numPr>
          <w:ilvl w:val="0"/>
          <w:numId w:val="8"/>
        </w:numPr>
        <w:tabs>
          <w:tab w:val="center" w:pos="4153"/>
          <w:tab w:val="right" w:pos="8306"/>
        </w:tabs>
        <w:spacing w:after="0" w:line="240" w:lineRule="auto"/>
        <w:ind w:left="720" w:hanging="360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  <w:t>Teostatud ravitehnikate dokumenteerimine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Näiteks õlaliigese periartriidi või lumbalgiaga patsiendid, kes USAs viibimise ajal on saanud manipulatsioon-ravi.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Tagasi jõudes Prantsusmaale on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neil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kaasas dokument selle kohta, et patsient paranes manipulatiivse raviga. Millised olid need manuaalsed ravitehnikad, mis patsienti efektiivselt tervendasid, seda meditsiiniline dokument ei täpsusta. 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numPr>
          <w:ilvl w:val="0"/>
          <w:numId w:val="9"/>
        </w:numPr>
        <w:tabs>
          <w:tab w:val="center" w:pos="4153"/>
          <w:tab w:val="right" w:pos="8306"/>
        </w:tabs>
        <w:spacing w:after="0" w:line="240" w:lineRule="auto"/>
        <w:ind w:left="720" w:hanging="360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  <w:t>Vahejuhtumid ja õnnetusjuhtumid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Anglosaksi riikides praktiseeritav manipulatsioonravi statistika on enamikele eurooplastest raskesti kasutatav, sest ravijuhendite soovitused ei ole piisavalt täpsed.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Statistika peaks olema analüüsitud kõikides detailides. Juhul, kui autor ei ole täpsustanud, milline on manipulatsioonravi definitsioon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milliseid ravitehnikaid on kasutatud, siis tuleks statistilisi andmeid interpreteerida ettevaatlikult. 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BD1ED6" w:rsidP="00BD1ED6">
      <w:pPr>
        <w:tabs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18"/>
          <w:szCs w:val="24"/>
          <w:lang w:val="en-GB"/>
        </w:rPr>
      </w:pPr>
      <w:proofErr w:type="gramStart"/>
      <w:r>
        <w:rPr>
          <w:rFonts w:ascii="Verdana" w:eastAsia="Times New Roman" w:hAnsi="Verdana" w:cs="Times New Roman"/>
          <w:b/>
          <w:bCs/>
          <w:color w:val="0000FF"/>
          <w:sz w:val="18"/>
          <w:szCs w:val="24"/>
          <w:lang w:val="en-GB"/>
        </w:rPr>
        <w:t>4.</w:t>
      </w:r>
      <w:r w:rsidR="00E63FDB" w:rsidRPr="00E63FDB">
        <w:rPr>
          <w:rFonts w:ascii="Verdana" w:eastAsia="Times New Roman" w:hAnsi="Verdana" w:cs="Times New Roman"/>
          <w:b/>
          <w:bCs/>
          <w:color w:val="0000FF"/>
          <w:sz w:val="18"/>
          <w:szCs w:val="24"/>
          <w:lang w:val="en-GB"/>
        </w:rPr>
        <w:t>Millised</w:t>
      </w:r>
      <w:proofErr w:type="gramEnd"/>
      <w:r w:rsidR="00E63FDB" w:rsidRPr="00E63FDB">
        <w:rPr>
          <w:rFonts w:ascii="Verdana" w:eastAsia="Times New Roman" w:hAnsi="Verdana" w:cs="Times New Roman"/>
          <w:b/>
          <w:bCs/>
          <w:color w:val="0000FF"/>
          <w:sz w:val="18"/>
          <w:szCs w:val="24"/>
          <w:lang w:val="en-GB"/>
        </w:rPr>
        <w:t xml:space="preserve"> on osteopaatia näidustused ja vastu-näidustused?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  <w:t>Manipulatsioonravi näidustused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Ühelt poolt ameerika osteopaatide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teatud anglosaksi autorite ning teiselt poolt Vahemere-maade (helleenide) koolkonna autorite vahel ilmnevad erinevad seisukohad manipuatsioonravi näidustuste ja vastunäidustuste osas. Üheks erinevuse näiteks on ameerika osteopaatide soovitus - teha vertebraalseid manipulatsioone haiguste preventsiooni eesmärgil st. selleks,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et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säilitada inimest hea tervise juures.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Vahemere-maade manuaalmeditsiini esindajate (liider Dr.R. Maigne) jaoks on see mõeldamatu.</w:t>
      </w:r>
      <w:proofErr w:type="gramEnd"/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  <w:t>Manipulatsioonravi vastunäidustused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  <w:t>A. Meditsiinilised vastunäidustused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Euroopa riikides, kus termin “manipulatsioon” on täpselt kindlaks määratud (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vt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. eelpool), on meditsiinilised vastunäidustused täpselt kodifitseeritud (lülisamba murd, spondülo-listees, vertebro-basilaar-puudulikkus jne.).</w:t>
      </w:r>
      <w:r w:rsidR="00BD1ED6">
        <w:rPr>
          <w:rFonts w:ascii="Verdana" w:eastAsia="Times New Roman" w:hAnsi="Verdana" w:cs="Times New Roman"/>
          <w:sz w:val="18"/>
          <w:szCs w:val="24"/>
          <w:lang w:val="en-GB"/>
        </w:rPr>
        <w:t xml:space="preserve"> </w:t>
      </w: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Ameerika osteopaadid eristavad absoluutseid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suhtelisi vastunäidustusi.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Absoluutsed vastunäidustused sarnanevad Euroopa (prantsuse) manuaalmeditsiini autorite seisukohtadele.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</w:t>
      </w:r>
      <w:r w:rsidR="00BD1ED6">
        <w:rPr>
          <w:rFonts w:ascii="Verdana" w:eastAsia="Times New Roman" w:hAnsi="Verdana" w:cs="Times New Roman"/>
          <w:sz w:val="18"/>
          <w:szCs w:val="24"/>
          <w:lang w:val="en-GB"/>
        </w:rPr>
        <w:t xml:space="preserve">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Suhtelised vastunäidustused ameerika osteopaatias keelavad küll “tõuke-tehnikate” kasutamise, kuid lubavad sooritada teisi manipulatiivseid akte (nt. lihas-sidekirme lõõgastus-tehnikad), mida Euroopas ei nimetata manipulatsioon-raviks.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  <w:t>B. Tehnilised vastunäidustused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ind w:left="1080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Tehnilised vastunäidustused on seotud prantsuse manuaalmeditsiini koolkonna esindaja Dr. Robert Maigne “valuvaba ja vastas-suuna reegli” järgimisega.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See tähendab,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et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arsti poolt sooritatud vertebraalne (artikulaarne) ravitehnika - liigutus, hoidmine ja manipulatiivne impulss ehk tõuge tuleb läbi viia suunas, mis on vaba ja valutu st. passiivse mobilisatsiooni ajal sellise liigese liikumisulatus ei ole </w:t>
      </w:r>
      <w:r w:rsidR="00BD1ED6">
        <w:rPr>
          <w:rFonts w:ascii="Verdana" w:eastAsia="Times New Roman" w:hAnsi="Verdana" w:cs="Times New Roman"/>
          <w:sz w:val="18"/>
          <w:szCs w:val="24"/>
          <w:lang w:val="en-GB"/>
        </w:rPr>
        <w:t xml:space="preserve">piiratud ega põhjusta ka valu.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“Valuvaba ja vastas-suuna reegel” piirab manipulatsioonravi näidustuste arvu, kuid piirab märkimisväärselt ka õnnetus-juhtumite riski.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Oluline on ka põhimõte,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et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mitte iga hinna eest ei peaks taotlema jäseme-liigeste või lülisamba-segmentide täieliku liikumis-ulatuse taastamist. 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Ameerika osteopaatias eelnimetatud tehnilised vastunäidustused ei kehti.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Euroopas ei rakenda valuvaba-vastassuuna-reeglit manuaalmeditsiini anglosaksi koolkonna esindajad.</w:t>
      </w:r>
      <w:proofErr w:type="gramEnd"/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b/>
          <w:bCs/>
          <w:color w:val="0000FF"/>
          <w:sz w:val="18"/>
          <w:szCs w:val="24"/>
          <w:lang w:val="en-GB"/>
        </w:rPr>
        <w:t xml:space="preserve">5. Kes on osteopaatia doktor </w:t>
      </w:r>
      <w:proofErr w:type="gramStart"/>
      <w:r w:rsidRPr="00E63FDB">
        <w:rPr>
          <w:rFonts w:ascii="Verdana" w:eastAsia="Times New Roman" w:hAnsi="Verdana" w:cs="Times New Roman"/>
          <w:b/>
          <w:bCs/>
          <w:color w:val="0000FF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b/>
          <w:bCs/>
          <w:color w:val="0000FF"/>
          <w:sz w:val="18"/>
          <w:szCs w:val="24"/>
          <w:lang w:val="en-GB"/>
        </w:rPr>
        <w:t xml:space="preserve"> milline on tema ettevalmistus?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  <w:t>A. Osteopaatia arstid (DO)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Esiteks tähistatakse DO tiitiga neid isikuid, kellel on Kanada, Austraalia või Suurbritannia Osteopaatia Koolide poolt välja antud diplom õpingute lõpetamise kohta.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lastRenderedPageBreak/>
        <w:t>Teiseks tähistatakse DO tiitliga neid isikuid, kellel on ametlikult kinnitatud Osteopaatia Doktori nimetus, mis on antud diplomiõppe järgselt ühes Ameerika Osteopaatilise Meditsiini Kolledžis.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Ameerikas on 19 Osteopaatia Akadeemia poolt akrediteeritud Osteopaatia Kolledžit.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Nendes õpib ligikaudu 10 000 üliõpilast.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Igal aastal väljastavad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nad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2 500 diplomit.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  <w:t xml:space="preserve">B. Osteopaatia Doktori (DO) </w:t>
      </w:r>
      <w:proofErr w:type="gramStart"/>
      <w:r w:rsidRPr="00E63FDB"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  <w:t xml:space="preserve"> Meditsiini Doktori (MD) samaväärsus Ameerikas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Ameerika Ühendriikides on alates 1963.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aastast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osteopaatia doktori ja meditsiini doktori diplomid legaalselt samaväärsed. Osteopaatia arstid (DO) võivad kasutada, määrata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läbi viia kõiki diagnostika ja teraapia akte, mis tavaliselt on kuulunud ainult arstide (MD) kompetentsi.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Osteopaatia arst võib Ameerikas töötada tingimusel,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et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ta on ülikoolis omandanud bakalaureuse diplomi ja seejärel lõpetanud Osteopaatilise Meditsiini Kolledži ning talle on riigi ameti-isikute poolt välja antud osteopaatia praktiseerimise litsents. 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  <w:t>C. Õppekava maht Ameerika Osteopaatilise Meditsiini Kolledžites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Ameerika Osteopaatia Kolledžites on kahe esimese õppeaasta koolitus-maht 290 tundi.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See on peaaegu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sama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, mis kehtib ka Prantsusmaa 15e ülikooli manuaalmeditsiini diplomi-koolitustel arstidele (peale meditsiini doktori tiitli omandamist). 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Ameerika Osteopaatia Kolledžite kahel esimesel aastal õpetatakse spetsiifilist osteopaatiat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,  millest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50% moodustab teoreetiline kursus ja 50% praktikumid. See väljaõpe sisaldab osteopaatia filosoofiat, diagnostikat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ravitehnikaid, kusjuures 20-40 tundi on reserveeritud kranio-sakraalsele osteopaatiale.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Kolmandal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neljandal õppeaastal jätkatakse kolledžites osteopaatia printsiipide omandamist integreerituna teiste meditsiini-erialadega.  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Neljanda õppe-aasta lõpus toimub riiklik eksam, mis sisaldab 800 küsimust, millest 20% on osteopaatiast.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Peale eksami sooritamist antakse üliõpilasele Osteopaatia Doktori tiitel (DO).</w:t>
      </w:r>
      <w:proofErr w:type="gramEnd"/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Seejärel suundub noor osteopaatia arst spetsialiseeruma alal, mida Ameerikas nimetatakse “osteopaatiline manipulatiivne meditsiin” või “neuro-muskulaarne meditsiin”.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Selle eriala õppemaht on 4 000 õppetundi.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Õpingud kestavad 3-4 aastat, mille jooksul osteopaatia arst läbib haigla stažeeringu vastavates osakondades, mis on pühendunud osteopaatia integratsioonile teatud eriala raames.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Selline koolitus annab lisa-spetsiaalsuse peremeditsiini, kirurgia, günekoloogia, ortopeedia või psühhiaatria erialal.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  <w:t>D. Ameerika praktiseerivate osteopaatia arstide hetkeseis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Statistika põhiselt on käesoleval ajal Ameerikas 42 000 osteopaatia arsti, kellest 2 000 on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spetsialiseerunud  “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osteopaatilise manipulatiivse meditsiini” erialal. Osteopaatide üldarvust ligikaudu 60% kasutab osteopaatilisi diagnostika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ravimeetodeid oma igapäevases praksises.  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  <w:r w:rsidRPr="00E63FDB"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  <w:t>Lõppsõna</w:t>
      </w:r>
    </w:p>
    <w:p w:rsidR="00E63FDB" w:rsidRP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val="en-GB"/>
        </w:rPr>
      </w:pPr>
    </w:p>
    <w:p w:rsidR="00E63FDB" w:rsidRDefault="00E63FDB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Eeltoodu andis ülevaate kaasaegse Ameerika osteopaatia kõige olulisematest aspektidest.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Esitatud olid ka teatud kontseptuaalsed lahknevused Ameerika osteopaatia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ja</w:t>
      </w:r>
      <w:proofErr w:type="gramEnd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 xml:space="preserve"> Euroopa manuaalmeditsiini vahel, eriti võrreldes Vahemere-maade, eeskätt prantsuse manuaalmeditsiini koolkonnaga. </w:t>
      </w:r>
      <w:proofErr w:type="gramStart"/>
      <w:r w:rsidRPr="00E63FDB">
        <w:rPr>
          <w:rFonts w:ascii="Verdana" w:eastAsia="Times New Roman" w:hAnsi="Verdana" w:cs="Times New Roman"/>
          <w:sz w:val="18"/>
          <w:szCs w:val="24"/>
          <w:lang w:val="en-GB"/>
        </w:rPr>
        <w:t>Eesmärgiks oli saavutada maksimaalne objektiivsus.</w:t>
      </w:r>
      <w:proofErr w:type="gramEnd"/>
    </w:p>
    <w:p w:rsidR="00BD1ED6" w:rsidRDefault="00BD1ED6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BD1ED6" w:rsidRDefault="00BD1ED6" w:rsidP="00E63FDB">
      <w:pPr>
        <w:pBdr>
          <w:bottom w:val="single" w:sz="6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</w:p>
    <w:p w:rsidR="00BD1ED6" w:rsidRPr="00E63FDB" w:rsidRDefault="00BD1ED6" w:rsidP="00E63FD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Verdana" w:eastAsia="Times New Roman" w:hAnsi="Verdana" w:cs="Times New Roman"/>
          <w:sz w:val="18"/>
          <w:szCs w:val="24"/>
          <w:lang w:val="en-GB"/>
        </w:rPr>
      </w:pPr>
      <w:bookmarkStart w:id="0" w:name="_GoBack"/>
      <w:bookmarkEnd w:id="0"/>
    </w:p>
    <w:sectPr w:rsidR="00BD1ED6" w:rsidRPr="00E63F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CD" w:rsidRDefault="00DB65CD" w:rsidP="00173875">
      <w:pPr>
        <w:spacing w:after="0" w:line="240" w:lineRule="auto"/>
      </w:pPr>
      <w:r>
        <w:separator/>
      </w:r>
    </w:p>
  </w:endnote>
  <w:endnote w:type="continuationSeparator" w:id="0">
    <w:p w:rsidR="00DB65CD" w:rsidRDefault="00DB65CD" w:rsidP="0017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CD" w:rsidRDefault="00DB65CD" w:rsidP="00173875">
      <w:pPr>
        <w:spacing w:after="0" w:line="240" w:lineRule="auto"/>
      </w:pPr>
      <w:r>
        <w:separator/>
      </w:r>
    </w:p>
  </w:footnote>
  <w:footnote w:type="continuationSeparator" w:id="0">
    <w:p w:rsidR="00DB65CD" w:rsidRDefault="00DB65CD" w:rsidP="0017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1719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3875" w:rsidRDefault="001738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E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3875" w:rsidRDefault="001738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F9F"/>
    <w:multiLevelType w:val="hybridMultilevel"/>
    <w:tmpl w:val="3FB0B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43D3B"/>
    <w:multiLevelType w:val="hybridMultilevel"/>
    <w:tmpl w:val="6AE8B816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 w:tplc="A9162C7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4D336F"/>
    <w:multiLevelType w:val="hybridMultilevel"/>
    <w:tmpl w:val="E26C0C72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230EBF"/>
    <w:multiLevelType w:val="hybridMultilevel"/>
    <w:tmpl w:val="0A5CE5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A773E8"/>
    <w:multiLevelType w:val="hybridMultilevel"/>
    <w:tmpl w:val="1E667F3A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4E0FC8"/>
    <w:multiLevelType w:val="hybridMultilevel"/>
    <w:tmpl w:val="3D869B22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 w:tplc="F7783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9C5792"/>
    <w:multiLevelType w:val="hybridMultilevel"/>
    <w:tmpl w:val="624A2A2A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7AD2C63"/>
    <w:multiLevelType w:val="hybridMultilevel"/>
    <w:tmpl w:val="7208F7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162C7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BD2E1B8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</w:lvl>
    <w:lvl w:ilvl="3" w:tplc="0000000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AA39DE"/>
    <w:multiLevelType w:val="hybridMultilevel"/>
    <w:tmpl w:val="8CFE50E0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 w:tplc="3166797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DB"/>
    <w:rsid w:val="00133D2A"/>
    <w:rsid w:val="00173875"/>
    <w:rsid w:val="004034A0"/>
    <w:rsid w:val="00991E58"/>
    <w:rsid w:val="00BD1ED6"/>
    <w:rsid w:val="00D533E2"/>
    <w:rsid w:val="00DB65CD"/>
    <w:rsid w:val="00E6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75"/>
  </w:style>
  <w:style w:type="paragraph" w:styleId="Footer">
    <w:name w:val="footer"/>
    <w:basedOn w:val="Normal"/>
    <w:link w:val="FooterChar"/>
    <w:uiPriority w:val="99"/>
    <w:unhideWhenUsed/>
    <w:rsid w:val="0017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875"/>
  </w:style>
  <w:style w:type="paragraph" w:styleId="ListParagraph">
    <w:name w:val="List Paragraph"/>
    <w:basedOn w:val="Normal"/>
    <w:uiPriority w:val="34"/>
    <w:qFormat/>
    <w:rsid w:val="0099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75"/>
  </w:style>
  <w:style w:type="paragraph" w:styleId="Footer">
    <w:name w:val="footer"/>
    <w:basedOn w:val="Normal"/>
    <w:link w:val="FooterChar"/>
    <w:uiPriority w:val="99"/>
    <w:unhideWhenUsed/>
    <w:rsid w:val="0017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875"/>
  </w:style>
  <w:style w:type="paragraph" w:styleId="ListParagraph">
    <w:name w:val="List Paragraph"/>
    <w:basedOn w:val="Normal"/>
    <w:uiPriority w:val="34"/>
    <w:qFormat/>
    <w:rsid w:val="0099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1916</Words>
  <Characters>11115</Characters>
  <Application>Microsoft Office Word</Application>
  <DocSecurity>0</DocSecurity>
  <Lines>92</Lines>
  <Paragraphs>26</Paragraphs>
  <ScaleCrop>false</ScaleCrop>
  <Company/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</dc:creator>
  <cp:lastModifiedBy>Leili</cp:lastModifiedBy>
  <cp:revision>13</cp:revision>
  <dcterms:created xsi:type="dcterms:W3CDTF">2014-07-09T04:31:00Z</dcterms:created>
  <dcterms:modified xsi:type="dcterms:W3CDTF">2015-03-26T18:14:00Z</dcterms:modified>
</cp:coreProperties>
</file>